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B2" w:rsidRPr="00BE0D69" w:rsidRDefault="00BC5873" w:rsidP="00BC5873">
      <w:pPr>
        <w:pStyle w:val="Heading2"/>
        <w:rPr>
          <w:rFonts w:ascii="News Gothic MT" w:hAnsi="News Gothic MT"/>
          <w:sz w:val="28"/>
          <w:szCs w:val="28"/>
        </w:rPr>
      </w:pPr>
      <w:r w:rsidRPr="00BE0D69">
        <w:rPr>
          <w:rFonts w:ascii="News Gothic MT" w:hAnsi="News Gothic MT"/>
          <w:sz w:val="28"/>
          <w:szCs w:val="28"/>
        </w:rPr>
        <w:t>Esquema Básico Del</w:t>
      </w:r>
    </w:p>
    <w:p w:rsidR="007378B2" w:rsidRPr="00863824" w:rsidRDefault="00B64F64" w:rsidP="00BC5873">
      <w:pPr>
        <w:pStyle w:val="Heading1"/>
        <w:rPr>
          <w:rFonts w:ascii="News Gothic MT" w:hAnsi="News Gothic MT"/>
          <w:sz w:val="28"/>
          <w:szCs w:val="28"/>
          <w:lang w:val="es-ES"/>
        </w:rPr>
      </w:pPr>
      <w:r w:rsidRPr="00863824">
        <w:rPr>
          <w:rFonts w:ascii="News Gothic MT" w:hAnsi="News Gothic MT"/>
          <w:sz w:val="28"/>
          <w:szCs w:val="28"/>
          <w:lang w:val="es-ES"/>
        </w:rPr>
        <w:t xml:space="preserve">Curso </w:t>
      </w:r>
      <w:r w:rsidR="007378B2" w:rsidRPr="00863824">
        <w:rPr>
          <w:rFonts w:ascii="News Gothic MT" w:hAnsi="News Gothic MT"/>
          <w:sz w:val="28"/>
          <w:szCs w:val="28"/>
          <w:lang w:val="es-ES"/>
        </w:rPr>
        <w:t>práctico de la contratación pública</w:t>
      </w:r>
    </w:p>
    <w:p w:rsidR="007378B2" w:rsidRPr="00863824" w:rsidRDefault="007378B2" w:rsidP="007378B2">
      <w:pPr>
        <w:rPr>
          <w:rFonts w:ascii="News Gothic MT" w:hAnsi="News Gothic MT"/>
          <w:b/>
          <w:i/>
          <w:sz w:val="28"/>
          <w:szCs w:val="28"/>
        </w:rPr>
      </w:pPr>
    </w:p>
    <w:p w:rsidR="00B64F64" w:rsidRPr="00863824" w:rsidRDefault="00B64F64" w:rsidP="007378B2">
      <w:pPr>
        <w:rPr>
          <w:rFonts w:ascii="News Gothic MT" w:hAnsi="News Gothic MT"/>
          <w:b/>
          <w:sz w:val="24"/>
          <w:szCs w:val="24"/>
        </w:rPr>
      </w:pPr>
      <w:r w:rsidRPr="00863824">
        <w:rPr>
          <w:rFonts w:ascii="News Gothic MT" w:hAnsi="News Gothic MT"/>
          <w:b/>
          <w:sz w:val="24"/>
          <w:szCs w:val="24"/>
        </w:rPr>
        <w:t>Corporación de Estudios ESTADE</w:t>
      </w:r>
    </w:p>
    <w:p w:rsidR="00B64F64" w:rsidRPr="00863824" w:rsidRDefault="00B64F64" w:rsidP="007378B2">
      <w:pPr>
        <w:rPr>
          <w:rFonts w:ascii="News Gothic MT" w:hAnsi="News Gothic MT"/>
          <w:b/>
          <w:sz w:val="24"/>
          <w:szCs w:val="24"/>
        </w:rPr>
      </w:pPr>
    </w:p>
    <w:p w:rsidR="00B64F64" w:rsidRPr="00863824" w:rsidRDefault="00B64F64" w:rsidP="007378B2">
      <w:pPr>
        <w:rPr>
          <w:rFonts w:ascii="News Gothic MT" w:hAnsi="News Gothic MT"/>
          <w:b/>
          <w:i/>
          <w:sz w:val="28"/>
          <w:szCs w:val="28"/>
        </w:rPr>
      </w:pPr>
    </w:p>
    <w:p w:rsidR="007378B2" w:rsidRPr="00BE0D69" w:rsidRDefault="007378B2" w:rsidP="007378B2">
      <w:pPr>
        <w:rPr>
          <w:rFonts w:ascii="News Gothic MT" w:hAnsi="News Gothic MT"/>
          <w:b/>
          <w:i/>
          <w:sz w:val="28"/>
          <w:szCs w:val="28"/>
          <w:lang w:val="es-EC"/>
        </w:rPr>
      </w:pPr>
      <w:r w:rsidRPr="00BE0D69">
        <w:rPr>
          <w:rFonts w:ascii="News Gothic MT" w:hAnsi="News Gothic MT"/>
          <w:b/>
          <w:i/>
          <w:sz w:val="28"/>
          <w:szCs w:val="28"/>
          <w:lang w:val="es-EC"/>
        </w:rPr>
        <w:t>Las etapas de la formación del contrato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 xml:space="preserve">1. La primera de ellas de orden interno, que consiste en la formación de la voluntad administrativa, tanto en el acuerdo mismo de contratar, cuanto a la forma y condiciones de esa contratación, que involucra estudio de cuestiones técnicas, económicas y jurídicas. 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 xml:space="preserve">2. La segunda etapa de la formación del contrato público abarca el conjunto de las relaciones de la administración pública con los particulares, entre las que se encuentra la selección del </w:t>
      </w:r>
      <w:proofErr w:type="spellStart"/>
      <w:r w:rsidRPr="00BE0D69">
        <w:rPr>
          <w:rFonts w:ascii="News Gothic MT" w:hAnsi="News Gothic MT"/>
          <w:sz w:val="28"/>
          <w:szCs w:val="28"/>
          <w:lang w:val="es-EC"/>
        </w:rPr>
        <w:t>co</w:t>
      </w:r>
      <w:proofErr w:type="spellEnd"/>
      <w:r w:rsidRPr="00BE0D69">
        <w:rPr>
          <w:rFonts w:ascii="News Gothic MT" w:hAnsi="News Gothic MT"/>
          <w:sz w:val="28"/>
          <w:szCs w:val="28"/>
          <w:lang w:val="es-EC"/>
        </w:rPr>
        <w:t>-contratante particular</w:t>
      </w:r>
      <w:r w:rsidRPr="00BE0D69">
        <w:rPr>
          <w:rFonts w:ascii="News Gothic MT" w:hAnsi="News Gothic MT"/>
          <w:sz w:val="28"/>
          <w:szCs w:val="28"/>
          <w:vertAlign w:val="superscript"/>
          <w:lang w:val="en-US"/>
        </w:rPr>
        <w:footnoteReference w:id="1"/>
      </w:r>
      <w:r w:rsidRPr="00BE0D69">
        <w:rPr>
          <w:rFonts w:ascii="News Gothic MT" w:hAnsi="News Gothic MT"/>
          <w:sz w:val="28"/>
          <w:szCs w:val="28"/>
          <w:lang w:val="es-EC"/>
        </w:rPr>
        <w:t>.</w:t>
      </w:r>
    </w:p>
    <w:p w:rsidR="007378B2" w:rsidRPr="00BE0D69" w:rsidRDefault="007378B2" w:rsidP="007378B2">
      <w:pPr>
        <w:rPr>
          <w:rFonts w:ascii="News Gothic MT" w:hAnsi="News Gothic MT"/>
          <w:b/>
          <w:i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b/>
          <w:bCs/>
          <w:sz w:val="28"/>
          <w:szCs w:val="28"/>
          <w:lang w:val="es-ES_tradnl"/>
        </w:rPr>
      </w:pPr>
      <w:r w:rsidRPr="00BE0D69">
        <w:rPr>
          <w:rFonts w:ascii="News Gothic MT" w:hAnsi="News Gothic MT"/>
          <w:b/>
          <w:sz w:val="28"/>
          <w:szCs w:val="28"/>
          <w:lang w:val="es-EC"/>
        </w:rPr>
        <w:t xml:space="preserve">I. </w:t>
      </w:r>
      <w:r w:rsidRPr="00BE0D69">
        <w:rPr>
          <w:rFonts w:ascii="News Gothic MT" w:hAnsi="News Gothic MT"/>
          <w:b/>
          <w:bCs/>
          <w:sz w:val="28"/>
          <w:szCs w:val="28"/>
          <w:lang w:val="es-ES_tradnl"/>
        </w:rPr>
        <w:t>Fases previas del procedimiento de contratación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S_tradnl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Antes de la convocatoria a licitación o concurso es necesario cumplir con los requisitos siguientes, previstos en la LOSNCP: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1 Plan anual de contratación pública (Art. 22, LOSNCP)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a) planificación plurianual institucional, relacionada con el Plan Nacional de Desarrollo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b) Presupuesto de las inversiones anuales en contratación, en concordancia con el Presupuesto General del Estado y los presupuestos institucionales.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 xml:space="preserve">c) Publicación del PAC en la página web </w:t>
      </w:r>
      <w:proofErr w:type="spellStart"/>
      <w:r w:rsidRPr="00BE0D69">
        <w:rPr>
          <w:rFonts w:ascii="News Gothic MT" w:hAnsi="News Gothic MT"/>
          <w:sz w:val="28"/>
          <w:szCs w:val="28"/>
          <w:lang w:val="es-EC"/>
        </w:rPr>
        <w:t>compraspublicas</w:t>
      </w:r>
      <w:proofErr w:type="spellEnd"/>
      <w:r w:rsidRPr="00BE0D69">
        <w:rPr>
          <w:rFonts w:ascii="News Gothic MT" w:hAnsi="News Gothic MT"/>
          <w:sz w:val="28"/>
          <w:szCs w:val="28"/>
          <w:lang w:val="es-EC"/>
        </w:rPr>
        <w:t>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d) Cumplir con los requerimientos del PAC contenidos en el Reglamento de la LOSNCP.</w:t>
      </w:r>
    </w:p>
    <w:p w:rsidR="007378B2" w:rsidRPr="00BE0D69" w:rsidRDefault="007378B2" w:rsidP="007378B2">
      <w:pPr>
        <w:rPr>
          <w:rFonts w:ascii="News Gothic MT" w:hAnsi="News Gothic MT"/>
          <w:i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iCs/>
          <w:sz w:val="28"/>
          <w:szCs w:val="28"/>
          <w:lang w:val="es-EC"/>
        </w:rPr>
      </w:pPr>
      <w:r w:rsidRPr="00BE0D69">
        <w:rPr>
          <w:rFonts w:ascii="News Gothic MT" w:hAnsi="News Gothic MT"/>
          <w:iCs/>
          <w:sz w:val="28"/>
          <w:szCs w:val="28"/>
          <w:lang w:val="es-EC"/>
        </w:rPr>
        <w:t>2 Estudios y diseños completos, definitivos y actualizados</w:t>
      </w:r>
      <w:r w:rsidRPr="00BE0D69">
        <w:rPr>
          <w:rFonts w:ascii="News Gothic MT" w:hAnsi="News Gothic MT"/>
          <w:i/>
          <w:iCs/>
          <w:sz w:val="28"/>
          <w:szCs w:val="28"/>
          <w:lang w:val="es-EC"/>
        </w:rPr>
        <w:t xml:space="preserve"> </w:t>
      </w:r>
      <w:r w:rsidRPr="00BE0D69">
        <w:rPr>
          <w:rFonts w:ascii="News Gothic MT" w:hAnsi="News Gothic MT"/>
          <w:iCs/>
          <w:sz w:val="28"/>
          <w:szCs w:val="28"/>
          <w:lang w:val="es-EC"/>
        </w:rPr>
        <w:t>planos y cálculos, especificaciones técnicas, debidamente aprobados por las instancias correspondientes, vinculados al Plan Anual de Contratación de la entidad (Art. 23, LOSNCP), incluyendo:</w:t>
      </w:r>
    </w:p>
    <w:p w:rsidR="007378B2" w:rsidRPr="00BE0D69" w:rsidRDefault="007378B2" w:rsidP="007378B2">
      <w:pPr>
        <w:rPr>
          <w:rFonts w:ascii="News Gothic MT" w:hAnsi="News Gothic MT"/>
          <w:iCs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iCs/>
          <w:sz w:val="28"/>
          <w:szCs w:val="28"/>
          <w:lang w:val="es-EC"/>
        </w:rPr>
      </w:pPr>
      <w:r w:rsidRPr="00BE0D69">
        <w:rPr>
          <w:rFonts w:ascii="News Gothic MT" w:hAnsi="News Gothic MT"/>
          <w:iCs/>
          <w:sz w:val="28"/>
          <w:szCs w:val="28"/>
          <w:lang w:val="es-EC"/>
        </w:rPr>
        <w:t>a) desagregación tecnológica o compra de inclusión.</w:t>
      </w:r>
    </w:p>
    <w:p w:rsidR="007378B2" w:rsidRPr="00BE0D69" w:rsidRDefault="007378B2" w:rsidP="007378B2">
      <w:pPr>
        <w:rPr>
          <w:rFonts w:ascii="News Gothic MT" w:hAnsi="News Gothic MT"/>
          <w:iCs/>
          <w:sz w:val="28"/>
          <w:szCs w:val="28"/>
          <w:lang w:val="es-EC"/>
        </w:rPr>
      </w:pPr>
      <w:r w:rsidRPr="00BE0D69">
        <w:rPr>
          <w:rFonts w:ascii="News Gothic MT" w:hAnsi="News Gothic MT"/>
          <w:iCs/>
          <w:sz w:val="28"/>
          <w:szCs w:val="28"/>
          <w:lang w:val="es-EC"/>
        </w:rPr>
        <w:t>b) responsabilidad de los funcionarios que elaboran.</w:t>
      </w:r>
    </w:p>
    <w:p w:rsidR="007378B2" w:rsidRPr="00BE0D69" w:rsidRDefault="007378B2" w:rsidP="007378B2">
      <w:pPr>
        <w:rPr>
          <w:rFonts w:ascii="News Gothic MT" w:hAnsi="News Gothic MT"/>
          <w:i/>
          <w:iCs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iCs/>
          <w:sz w:val="28"/>
          <w:szCs w:val="28"/>
          <w:lang w:val="es-EC"/>
        </w:rPr>
      </w:pPr>
      <w:r w:rsidRPr="00BE0D69">
        <w:rPr>
          <w:rFonts w:ascii="News Gothic MT" w:hAnsi="News Gothic MT"/>
          <w:iCs/>
          <w:sz w:val="28"/>
          <w:szCs w:val="28"/>
          <w:lang w:val="es-EC"/>
        </w:rPr>
        <w:t>3 Certificación de la disponibilidad presupuestaria y mecanismos electrónicos (Art. 24).</w:t>
      </w:r>
    </w:p>
    <w:p w:rsidR="007378B2" w:rsidRPr="00BE0D69" w:rsidRDefault="007378B2" w:rsidP="007378B2">
      <w:pPr>
        <w:rPr>
          <w:rFonts w:ascii="News Gothic MT" w:hAnsi="News Gothic MT"/>
          <w:iCs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b/>
          <w:bCs/>
          <w:sz w:val="28"/>
          <w:szCs w:val="28"/>
          <w:lang w:val="es-ES_tradnl"/>
        </w:rPr>
      </w:pPr>
      <w:r w:rsidRPr="00BE0D69">
        <w:rPr>
          <w:rFonts w:ascii="News Gothic MT" w:hAnsi="News Gothic MT"/>
          <w:b/>
          <w:bCs/>
          <w:sz w:val="28"/>
          <w:szCs w:val="28"/>
          <w:lang w:val="es-ES_tradnl"/>
        </w:rPr>
        <w:t>II. Etapa precontractual</w:t>
      </w:r>
    </w:p>
    <w:p w:rsidR="007378B2" w:rsidRPr="00BE0D69" w:rsidRDefault="007378B2" w:rsidP="007378B2">
      <w:pPr>
        <w:rPr>
          <w:rFonts w:ascii="News Gothic MT" w:hAnsi="News Gothic MT"/>
          <w:b/>
          <w:i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1.  “pre-contrato”: contacto que se establece con los interesados en participar en calidad de oferentes, que no obliga contractualmente a las partes, pero que establece ciertos compromisos mutuos.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2. obligatoriedad de utilizar los documentos precontractuales modelo del Instituto Nacional de Contratación Pública (Art. 27, LOSNCP).</w:t>
      </w:r>
    </w:p>
    <w:p w:rsidR="007378B2" w:rsidRPr="00BE0D69" w:rsidRDefault="007378B2" w:rsidP="007378B2">
      <w:pPr>
        <w:rPr>
          <w:rFonts w:ascii="News Gothic MT" w:hAnsi="News Gothic MT"/>
          <w:i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3. Publicidad: Divulgación, Inscripción, Aclaraciones y Modificaciones de los Pliegos y plazo de convalidación de ofertas (Art. 31, LOSNCP).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 xml:space="preserve">4. Introducción de los pliegos en el portal </w:t>
      </w:r>
      <w:proofErr w:type="spellStart"/>
      <w:r w:rsidRPr="00BE0D69">
        <w:rPr>
          <w:rFonts w:ascii="News Gothic MT" w:hAnsi="News Gothic MT"/>
          <w:sz w:val="28"/>
          <w:szCs w:val="28"/>
          <w:lang w:val="es-EC"/>
        </w:rPr>
        <w:t>compraspublicas</w:t>
      </w:r>
      <w:proofErr w:type="spellEnd"/>
      <w:r w:rsidRPr="00BE0D69">
        <w:rPr>
          <w:rFonts w:ascii="News Gothic MT" w:hAnsi="News Gothic MT"/>
          <w:sz w:val="28"/>
          <w:szCs w:val="28"/>
          <w:lang w:val="es-EC"/>
        </w:rPr>
        <w:t>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5. Pagos por concepto de pliegos.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6. Vigencia de la oferta.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bookmarkStart w:id="0" w:name="_Toc205618088"/>
    </w:p>
    <w:bookmarkEnd w:id="0"/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iCs/>
          <w:sz w:val="28"/>
          <w:szCs w:val="28"/>
          <w:lang w:val="es-EC"/>
        </w:rPr>
        <w:t>7. actos y hechos jurídicos privados</w:t>
      </w:r>
      <w:r w:rsidRPr="00BE0D69">
        <w:rPr>
          <w:rFonts w:ascii="News Gothic MT" w:hAnsi="News Gothic MT"/>
          <w:sz w:val="28"/>
          <w:szCs w:val="28"/>
          <w:lang w:val="es-EC"/>
        </w:rPr>
        <w:t xml:space="preserve"> o de particulares: conocimiento del pliego, la presentación de la oferta, el retiro de la oferta, la constitución de la garantía, la solicitud de inscripción en los registros respectivos, la formulación de observaciones e impugnaciones en el acto de apertura, etc.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8. actos administrativos: llamado a licitación, la admisión, la exclusión de oferente, la recepción de propuestas, la adjudicación.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9. Actos reglamentarios: pliego de condiciones, las bases del concurso, y en un todo el Reglamento de la LOSNCP.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10. Los efectos del principio de “los actos separables”.</w:t>
      </w:r>
    </w:p>
    <w:p w:rsidR="007378B2" w:rsidRPr="00BE0D69" w:rsidRDefault="007378B2" w:rsidP="007378B2">
      <w:pPr>
        <w:rPr>
          <w:rFonts w:ascii="News Gothic MT" w:hAnsi="News Gothic MT"/>
          <w:b/>
          <w:i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b/>
          <w:bCs/>
          <w:sz w:val="28"/>
          <w:szCs w:val="28"/>
          <w:lang w:val="es-ES_tradnl"/>
        </w:rPr>
      </w:pPr>
      <w:r w:rsidRPr="00BE0D69">
        <w:rPr>
          <w:rFonts w:ascii="News Gothic MT" w:hAnsi="News Gothic MT"/>
          <w:b/>
          <w:bCs/>
          <w:sz w:val="28"/>
          <w:szCs w:val="28"/>
          <w:lang w:val="es-ES_tradnl"/>
        </w:rPr>
        <w:t xml:space="preserve">III Etapa contractual </w:t>
      </w:r>
    </w:p>
    <w:p w:rsidR="007378B2" w:rsidRPr="00BE0D69" w:rsidRDefault="007378B2" w:rsidP="007378B2">
      <w:pPr>
        <w:rPr>
          <w:rFonts w:ascii="News Gothic MT" w:hAnsi="News Gothic MT"/>
          <w:b/>
          <w:i/>
          <w:sz w:val="28"/>
          <w:szCs w:val="28"/>
          <w:lang w:val="es-EC"/>
        </w:rPr>
      </w:pPr>
    </w:p>
    <w:p w:rsidR="007378B2" w:rsidRPr="00BE0D69" w:rsidRDefault="007378B2" w:rsidP="007378B2">
      <w:pPr>
        <w:pStyle w:val="Heading3"/>
        <w:rPr>
          <w:rFonts w:ascii="News Gothic MT" w:hAnsi="News Gothic MT"/>
          <w:sz w:val="28"/>
          <w:szCs w:val="28"/>
        </w:rPr>
      </w:pPr>
      <w:r w:rsidRPr="00BE0D69">
        <w:rPr>
          <w:rFonts w:ascii="News Gothic MT" w:hAnsi="News Gothic MT"/>
          <w:sz w:val="28"/>
          <w:szCs w:val="28"/>
        </w:rPr>
        <w:t>1. La suscripción y la ejecución del contrato</w:t>
      </w:r>
    </w:p>
    <w:p w:rsidR="007378B2" w:rsidRPr="00BE0D69" w:rsidRDefault="007378B2" w:rsidP="007378B2">
      <w:pPr>
        <w:rPr>
          <w:rFonts w:ascii="News Gothic MT" w:hAnsi="News Gothic MT"/>
          <w:b/>
          <w:i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 xml:space="preserve">1. La elección del </w:t>
      </w:r>
      <w:proofErr w:type="spellStart"/>
      <w:r w:rsidRPr="00BE0D69">
        <w:rPr>
          <w:rFonts w:ascii="News Gothic MT" w:hAnsi="News Gothic MT"/>
          <w:sz w:val="28"/>
          <w:szCs w:val="28"/>
          <w:lang w:val="es-EC"/>
        </w:rPr>
        <w:t>co</w:t>
      </w:r>
      <w:proofErr w:type="spellEnd"/>
      <w:r w:rsidRPr="00BE0D69">
        <w:rPr>
          <w:rFonts w:ascii="News Gothic MT" w:hAnsi="News Gothic MT"/>
          <w:sz w:val="28"/>
          <w:szCs w:val="28"/>
          <w:lang w:val="es-EC"/>
        </w:rPr>
        <w:t>-contratante.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2. La adjudicación.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3. La notificación de la adjudicación.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4. la suscripción del contrato.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5. Anexos del contrato.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6. Las garantías del contrato y su amortización.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7. Modificaciones del contrato.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8. Ejecución del contrato y cumplimiento de las cláusulas contractuales.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9. retrasos y sanciones.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10. Fiscalización y contrapartes.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11. Planillaje, abonos, pagos parciales y descuentos.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/>
        </w:rPr>
        <w:t>12. Elementos de la fuerza mayor y caso fortuito.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/>
        </w:rPr>
      </w:pPr>
    </w:p>
    <w:p w:rsidR="007378B2" w:rsidRPr="00BE0D69" w:rsidRDefault="007378B2" w:rsidP="007378B2">
      <w:pPr>
        <w:pStyle w:val="Heading3"/>
        <w:rPr>
          <w:rFonts w:ascii="News Gothic MT" w:hAnsi="News Gothic MT"/>
          <w:sz w:val="28"/>
          <w:szCs w:val="28"/>
        </w:rPr>
      </w:pPr>
      <w:r w:rsidRPr="00BE0D69">
        <w:rPr>
          <w:rFonts w:ascii="News Gothic MT" w:hAnsi="News Gothic MT"/>
          <w:sz w:val="28"/>
          <w:szCs w:val="28"/>
        </w:rPr>
        <w:t>2. Terminación del contrato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Clases de terminación del contrato: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1. cumplimiento.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2. resolución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3. rescisión.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4. Terminación por mutuo acuerdo.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5. Terminación unil</w:t>
      </w:r>
      <w:r w:rsidR="00BE0D69">
        <w:rPr>
          <w:rFonts w:ascii="News Gothic MT" w:hAnsi="News Gothic MT"/>
          <w:sz w:val="28"/>
          <w:szCs w:val="28"/>
          <w:lang w:val="es-EC" w:eastAsia="es-ES"/>
        </w:rPr>
        <w:t>a</w:t>
      </w:r>
      <w:r w:rsidRPr="00BE0D69">
        <w:rPr>
          <w:rFonts w:ascii="News Gothic MT" w:hAnsi="News Gothic MT"/>
          <w:sz w:val="28"/>
          <w:szCs w:val="28"/>
          <w:lang w:val="es-EC" w:eastAsia="es-ES"/>
        </w:rPr>
        <w:t>teral y anticipada del contrato.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6. Nulidad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pStyle w:val="Heading3"/>
        <w:rPr>
          <w:rFonts w:ascii="News Gothic MT" w:hAnsi="News Gothic MT"/>
          <w:sz w:val="28"/>
          <w:szCs w:val="28"/>
        </w:rPr>
      </w:pPr>
      <w:r w:rsidRPr="00BE0D69">
        <w:rPr>
          <w:rFonts w:ascii="News Gothic MT" w:hAnsi="News Gothic MT"/>
          <w:sz w:val="28"/>
          <w:szCs w:val="28"/>
        </w:rPr>
        <w:t>3. Entrega recepción del contrato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1. Entregas parciales.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2. Entregas recepciones provisionales.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3. Entrega recepción definitiva.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4. Entrega recepción presunta.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5. Liquidación del contrato y reajustes de precios.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6. Terminación de las garantías.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A11239">
      <w:pPr>
        <w:pStyle w:val="Heading3"/>
        <w:rPr>
          <w:rFonts w:ascii="News Gothic MT" w:hAnsi="News Gothic MT"/>
          <w:sz w:val="28"/>
          <w:szCs w:val="28"/>
        </w:rPr>
      </w:pPr>
      <w:r w:rsidRPr="00BE0D69">
        <w:rPr>
          <w:rFonts w:ascii="News Gothic MT" w:hAnsi="News Gothic MT"/>
          <w:sz w:val="28"/>
          <w:szCs w:val="28"/>
        </w:rPr>
        <w:t>4. Solución de controversias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1. Solución de desacuerdos por cuenta de la fiscalización.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2. Mediación.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3. Arbitraje nacional y arbitraje internacional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4. Cumplimiento de laudos.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5. Juicios por nulidad de laudos.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6. Proceso contencioso administrativo.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pStyle w:val="Heading2"/>
        <w:rPr>
          <w:rFonts w:ascii="News Gothic MT" w:hAnsi="News Gothic MT"/>
          <w:sz w:val="28"/>
          <w:szCs w:val="28"/>
        </w:rPr>
      </w:pPr>
      <w:r w:rsidRPr="00BE0D69">
        <w:rPr>
          <w:rFonts w:ascii="News Gothic MT" w:hAnsi="News Gothic MT"/>
          <w:sz w:val="28"/>
          <w:szCs w:val="28"/>
        </w:rPr>
        <w:t>IV Etapa post contractual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1. Responsabilidad de los consultores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2. Responsabilidad decenal de los constructores</w:t>
      </w:r>
    </w:p>
    <w:p w:rsidR="007378B2" w:rsidRPr="00BE0D69" w:rsidRDefault="007378B2" w:rsidP="007378B2">
      <w:pPr>
        <w:rPr>
          <w:rFonts w:ascii="News Gothic MT" w:hAnsi="News Gothic MT"/>
          <w:sz w:val="28"/>
          <w:szCs w:val="28"/>
          <w:lang w:val="es-EC" w:eastAsia="es-ES"/>
        </w:rPr>
      </w:pPr>
    </w:p>
    <w:p w:rsidR="00871F00" w:rsidRPr="00BE0D69" w:rsidRDefault="007378B2">
      <w:pPr>
        <w:rPr>
          <w:rFonts w:ascii="News Gothic MT" w:hAnsi="News Gothic MT"/>
          <w:sz w:val="28"/>
          <w:szCs w:val="28"/>
          <w:lang w:val="es-EC"/>
        </w:rPr>
      </w:pPr>
      <w:r w:rsidRPr="00BE0D69">
        <w:rPr>
          <w:rFonts w:ascii="News Gothic MT" w:hAnsi="News Gothic MT"/>
          <w:sz w:val="28"/>
          <w:szCs w:val="28"/>
          <w:lang w:val="es-EC" w:eastAsia="es-ES"/>
        </w:rPr>
        <w:t>3. Responsabilidad por las garantías técnicas y los suministros de repuestos.</w:t>
      </w:r>
    </w:p>
    <w:sectPr w:rsidR="00871F00" w:rsidRPr="00BE0D69" w:rsidSect="003B7C2D">
      <w:headerReference w:type="even" r:id="rId7"/>
      <w:head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CF" w:rsidRDefault="009D1DCF" w:rsidP="007378B2">
      <w:r>
        <w:separator/>
      </w:r>
    </w:p>
  </w:endnote>
  <w:endnote w:type="continuationSeparator" w:id="0">
    <w:p w:rsidR="009D1DCF" w:rsidRDefault="009D1DCF" w:rsidP="0073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CF" w:rsidRDefault="009D1DCF" w:rsidP="007378B2">
      <w:r>
        <w:separator/>
      </w:r>
    </w:p>
  </w:footnote>
  <w:footnote w:type="continuationSeparator" w:id="0">
    <w:p w:rsidR="009D1DCF" w:rsidRDefault="009D1DCF" w:rsidP="007378B2">
      <w:r>
        <w:continuationSeparator/>
      </w:r>
    </w:p>
  </w:footnote>
  <w:footnote w:id="1">
    <w:p w:rsidR="007378B2" w:rsidRPr="00DE40FF" w:rsidRDefault="007378B2" w:rsidP="00DE40FF">
      <w:pPr>
        <w:pStyle w:val="FootnoteText"/>
        <w:rPr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B2" w:rsidRDefault="00A879BB" w:rsidP="00300032">
    <w:pPr>
      <w:pStyle w:val="Header"/>
    </w:pPr>
    <w:r w:rsidRPr="00A879BB">
      <w:rPr>
        <w:noProof/>
        <w:sz w:val="20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143.75pt;margin-top:-38.25pt;width:137.4pt;height:17pt;z-index:-251661312;mso-position-vertical-relative:margin" filled="f" stroked="f">
          <v:textbox style="mso-next-textbox:#_x0000_s2053" inset="0,0,0,0">
            <w:txbxContent>
              <w:p w:rsidR="007378B2" w:rsidRDefault="007378B2" w:rsidP="00300032">
                <w:pPr>
                  <w:pStyle w:val="Header"/>
                  <w:rPr>
                    <w:lang w:val="es-ES"/>
                  </w:rPr>
                </w:pPr>
                <w:r>
                  <w:rPr>
                    <w:lang w:val="es-ES"/>
                  </w:rPr>
                  <w:t>DERECHO ADMINISTRATIVO</w:t>
                </w:r>
              </w:p>
            </w:txbxContent>
          </v:textbox>
          <w10:wrap anchory="margin"/>
        </v:shape>
      </w:pict>
    </w:r>
    <w:r w:rsidRPr="00A879BB">
      <w:rPr>
        <w:noProof/>
        <w:sz w:val="20"/>
        <w:lang w:val="es-ES"/>
      </w:rPr>
      <w:pict>
        <v:line id="_x0000_s2052" style="position:absolute;left:0;text-align:left;z-index:-251660288;mso-position-vertical-relative:margin" from="0,-23.55pt" to="290.55pt,-23.55pt">
          <w10:wrap anchory="margin"/>
        </v:line>
      </w:pict>
    </w:r>
  </w:p>
  <w:p w:rsidR="007378B2" w:rsidRPr="003D66B9" w:rsidRDefault="00A879BB" w:rsidP="00300032">
    <w:pPr>
      <w:pStyle w:val="Header"/>
    </w:pPr>
    <w:r w:rsidRPr="00A879BB">
      <w:rPr>
        <w:noProof/>
        <w:sz w:val="20"/>
        <w:lang w:val="es-ES"/>
      </w:rPr>
      <w:pict>
        <v:shape id="_x0000_s2054" type="#_x0000_t202" style="position:absolute;left:0;text-align:left;margin-left:0;margin-top:-38.25pt;width:34.3pt;height:14.15pt;z-index:251657216;mso-position-vertical-relative:margin" filled="f" stroked="f">
          <v:textbox style="mso-next-textbox:#_x0000_s2054" inset="0,0,0,0">
            <w:txbxContent>
              <w:p w:rsidR="007378B2" w:rsidRDefault="00A879BB" w:rsidP="00300032">
                <w:pPr>
                  <w:pStyle w:val="Numeropagina"/>
                </w:pPr>
                <w:fldSimple w:instr=" PAGE ">
                  <w:r w:rsidR="007378B2">
                    <w:rPr>
                      <w:noProof/>
                    </w:rPr>
                    <w:t>850</w:t>
                  </w:r>
                </w:fldSimple>
              </w:p>
            </w:txbxContent>
          </v:textbox>
          <w10:wrap anchory="margin"/>
        </v:shape>
      </w:pict>
    </w:r>
  </w:p>
  <w:p w:rsidR="007378B2" w:rsidRDefault="007378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B2" w:rsidRDefault="007378B2" w:rsidP="003D66B9">
    <w:pPr>
      <w:pStyle w:val="Header"/>
    </w:pPr>
  </w:p>
  <w:p w:rsidR="007378B2" w:rsidRPr="003D66B9" w:rsidRDefault="00A879BB" w:rsidP="007378B2">
    <w:pPr>
      <w:pStyle w:val="Header"/>
      <w:tabs>
        <w:tab w:val="clear" w:pos="4252"/>
        <w:tab w:val="clear" w:pos="8504"/>
        <w:tab w:val="left" w:pos="5460"/>
      </w:tabs>
      <w:ind w:firstLine="0"/>
    </w:pPr>
    <w:r w:rsidRPr="00A879BB">
      <w:rPr>
        <w:noProof/>
        <w:sz w:val="20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8.75pt;margin-top:-38.3pt;width:31.95pt;height:17pt;z-index:-251658240;mso-position-vertical-relative:margin" filled="f" stroked="f">
          <v:textbox style="mso-next-textbox:#_x0000_s2050" inset="0,0,0,0">
            <w:txbxContent>
              <w:p w:rsidR="007378B2" w:rsidRDefault="007378B2" w:rsidP="007378B2">
                <w:pPr>
                  <w:pStyle w:val="Numeropagina"/>
                  <w:jc w:val="left"/>
                </w:pPr>
              </w:p>
            </w:txbxContent>
          </v:textbox>
          <w10:wrap anchory="margin"/>
        </v:shape>
      </w:pict>
    </w:r>
    <w:r w:rsidRPr="00A879BB">
      <w:rPr>
        <w:noProof/>
        <w:sz w:val="20"/>
        <w:lang w:val="es-ES"/>
      </w:rPr>
      <w:pict>
        <v:shape id="_x0000_s2049" type="#_x0000_t202" style="position:absolute;margin-left:5.65pt;margin-top:-38.25pt;width:247.75pt;height:17pt;z-index:-251657216;mso-position-vertical-relative:margin" filled="f" stroked="f">
          <v:textbox style="mso-next-textbox:#_x0000_s2049" inset="0,0,0,0">
            <w:txbxContent>
              <w:p w:rsidR="007378B2" w:rsidRPr="007378B2" w:rsidRDefault="007378B2" w:rsidP="007378B2"/>
            </w:txbxContent>
          </v:textbox>
          <w10:wrap anchory="margin"/>
        </v:shape>
      </w:pict>
    </w:r>
    <w:r w:rsidR="007378B2">
      <w:tab/>
    </w:r>
    <w:r w:rsidRPr="00A879BB">
      <w:rPr>
        <w:noProof/>
        <w:sz w:val="20"/>
        <w:lang w:val="es-ES"/>
      </w:rPr>
      <w:pict>
        <v:line id="_x0000_s2051" style="position:absolute;z-index:-251656192;mso-position-horizontal-relative:text;mso-position-vertical-relative:margin" from="0,-19.9pt" to="290.55pt,-19.9pt">
          <w10:wrap anchory="margin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78B2"/>
    <w:rsid w:val="000B1D95"/>
    <w:rsid w:val="000D1706"/>
    <w:rsid w:val="00180BB8"/>
    <w:rsid w:val="001F633D"/>
    <w:rsid w:val="002F03AA"/>
    <w:rsid w:val="003B7C2D"/>
    <w:rsid w:val="005404B1"/>
    <w:rsid w:val="00570FB3"/>
    <w:rsid w:val="005955B5"/>
    <w:rsid w:val="007378B2"/>
    <w:rsid w:val="007752EE"/>
    <w:rsid w:val="00863824"/>
    <w:rsid w:val="00871F00"/>
    <w:rsid w:val="00967A10"/>
    <w:rsid w:val="009D1DCF"/>
    <w:rsid w:val="00A11239"/>
    <w:rsid w:val="00A879BB"/>
    <w:rsid w:val="00AA0DA9"/>
    <w:rsid w:val="00AA2BE0"/>
    <w:rsid w:val="00AB5D4C"/>
    <w:rsid w:val="00B3272D"/>
    <w:rsid w:val="00B64F64"/>
    <w:rsid w:val="00BC5873"/>
    <w:rsid w:val="00BE0D69"/>
    <w:rsid w:val="00C5251B"/>
    <w:rsid w:val="00C67EA2"/>
    <w:rsid w:val="00D827B3"/>
    <w:rsid w:val="00DC54E5"/>
    <w:rsid w:val="00DE40FF"/>
    <w:rsid w:val="00E71D5D"/>
    <w:rsid w:val="00F75CEE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B2"/>
    <w:pPr>
      <w:spacing w:after="0" w:line="240" w:lineRule="auto"/>
    </w:pPr>
    <w:rPr>
      <w:rFonts w:ascii="Helvetica" w:hAnsi="Helvetica"/>
      <w:color w:val="365F91" w:themeColor="accent1" w:themeShade="BF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75CEE"/>
    <w:pPr>
      <w:keepNext/>
      <w:outlineLvl w:val="0"/>
    </w:pPr>
    <w:rPr>
      <w:rFonts w:eastAsia="Times New Roman" w:cs="Times New Roman"/>
      <w:b/>
      <w:bCs/>
      <w:iCs/>
      <w:caps/>
      <w:kern w:val="32"/>
      <w:lang w:val="fr-FR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B7C2D"/>
    <w:pPr>
      <w:keepNext/>
      <w:keepLines/>
      <w:outlineLvl w:val="1"/>
    </w:pPr>
    <w:rPr>
      <w:rFonts w:eastAsiaTheme="majorEastAsia" w:cstheme="majorBidi"/>
      <w:b/>
      <w:bCs/>
      <w:szCs w:val="26"/>
      <w:lang w:val="es-EC" w:eastAsia="es-ES"/>
    </w:rPr>
  </w:style>
  <w:style w:type="paragraph" w:styleId="Heading3">
    <w:name w:val="heading 3"/>
    <w:basedOn w:val="Normal"/>
    <w:next w:val="Normal"/>
    <w:link w:val="Heading3Char"/>
    <w:autoRedefine/>
    <w:qFormat/>
    <w:rsid w:val="00A11239"/>
    <w:pPr>
      <w:keepNext/>
      <w:widowControl w:val="0"/>
      <w:suppressAutoHyphens/>
      <w:outlineLvl w:val="2"/>
    </w:pPr>
    <w:rPr>
      <w:rFonts w:eastAsia="Times New Roman" w:cs="Times New Roman"/>
      <w:b/>
      <w:i/>
      <w:spacing w:val="-4"/>
      <w:szCs w:val="20"/>
      <w:lang w:val="es-EC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7C2D"/>
    <w:rPr>
      <w:rFonts w:ascii="Helvetica" w:eastAsiaTheme="majorEastAsia" w:hAnsi="Helvetica" w:cstheme="majorBidi"/>
      <w:b/>
      <w:bCs/>
      <w:color w:val="365F91" w:themeColor="accent1" w:themeShade="BF"/>
      <w:szCs w:val="26"/>
      <w:lang w:val="es-EC" w:eastAsia="es-E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827B3"/>
    <w:pPr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B3"/>
    <w:rPr>
      <w:rFonts w:ascii="Helvetica" w:eastAsiaTheme="majorEastAsia" w:hAnsi="Helvetica" w:cstheme="majorBidi"/>
      <w:b/>
      <w:caps/>
      <w:color w:val="365F91" w:themeColor="accent1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75CEE"/>
    <w:rPr>
      <w:rFonts w:ascii="Helvetica" w:eastAsia="Times New Roman" w:hAnsi="Helvetica" w:cs="Times New Roman"/>
      <w:b/>
      <w:bCs/>
      <w:iCs/>
      <w:caps/>
      <w:color w:val="365F91" w:themeColor="accent1" w:themeShade="BF"/>
      <w:kern w:val="32"/>
      <w:lang w:val="fr-FR"/>
    </w:rPr>
  </w:style>
  <w:style w:type="character" w:customStyle="1" w:styleId="Heading3Char">
    <w:name w:val="Heading 3 Char"/>
    <w:basedOn w:val="DefaultParagraphFont"/>
    <w:link w:val="Heading3"/>
    <w:rsid w:val="00A11239"/>
    <w:rPr>
      <w:rFonts w:ascii="Helvetica" w:eastAsia="Times New Roman" w:hAnsi="Helvetica" w:cs="Times New Roman"/>
      <w:b/>
      <w:i/>
      <w:color w:val="365F91" w:themeColor="accent1" w:themeShade="BF"/>
      <w:spacing w:val="-4"/>
      <w:szCs w:val="20"/>
      <w:lang w:val="es-EC" w:eastAsia="es-ES"/>
    </w:rPr>
  </w:style>
  <w:style w:type="character" w:customStyle="1" w:styleId="Heading3Char1">
    <w:name w:val="Heading 3 Char1"/>
    <w:aliases w:val="Heading 3 Char Char"/>
    <w:basedOn w:val="DefaultParagraphFont"/>
    <w:rsid w:val="00F75CEE"/>
    <w:rPr>
      <w:rFonts w:ascii="Helvetica" w:eastAsia="Times New Roman" w:hAnsi="Helvetica" w:cs="Times New Roman"/>
      <w:b/>
      <w:i/>
      <w:spacing w:val="-4"/>
      <w:szCs w:val="20"/>
      <w:lang w:val="es-EC" w:eastAsia="es-ES"/>
    </w:rPr>
  </w:style>
  <w:style w:type="paragraph" w:styleId="Header">
    <w:name w:val="header"/>
    <w:basedOn w:val="Normal"/>
    <w:link w:val="HeaderChar"/>
    <w:uiPriority w:val="99"/>
    <w:rsid w:val="007378B2"/>
    <w:pPr>
      <w:tabs>
        <w:tab w:val="center" w:pos="4252"/>
        <w:tab w:val="right" w:pos="8504"/>
      </w:tabs>
      <w:ind w:firstLine="284"/>
    </w:pPr>
    <w:rPr>
      <w:rFonts w:ascii="Times New Roman" w:eastAsia="Times New Roman" w:hAnsi="Times New Roman" w:cs="Times New Roman"/>
      <w:b/>
      <w:color w:val="auto"/>
      <w:sz w:val="16"/>
      <w:szCs w:val="20"/>
      <w:lang w:val="es-EC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7378B2"/>
    <w:rPr>
      <w:rFonts w:ascii="Times New Roman" w:eastAsia="Times New Roman" w:hAnsi="Times New Roman" w:cs="Times New Roman"/>
      <w:b/>
      <w:sz w:val="16"/>
      <w:szCs w:val="20"/>
      <w:lang w:val="es-EC" w:eastAsia="es-ES"/>
    </w:rPr>
  </w:style>
  <w:style w:type="paragraph" w:customStyle="1" w:styleId="Numeropagina">
    <w:name w:val="Numero_pagina"/>
    <w:basedOn w:val="Header"/>
    <w:rsid w:val="007378B2"/>
    <w:pPr>
      <w:jc w:val="right"/>
    </w:pPr>
  </w:style>
  <w:style w:type="character" w:styleId="FootnoteReference">
    <w:name w:val="footnote reference"/>
    <w:basedOn w:val="DefaultParagraphFont"/>
    <w:uiPriority w:val="99"/>
    <w:semiHidden/>
    <w:rsid w:val="007378B2"/>
    <w:rPr>
      <w:rFonts w:ascii="Times New Roman" w:hAnsi="Times New Roman"/>
      <w:b/>
      <w:sz w:val="16"/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7378B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8B2"/>
    <w:rPr>
      <w:rFonts w:ascii="Helvetica" w:hAnsi="Helvetica"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40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40FF"/>
    <w:rPr>
      <w:rFonts w:ascii="Helvetica" w:hAnsi="Helvetica"/>
      <w:color w:val="365F91" w:themeColor="accent1" w:themeShade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F4D3-1066-4759-BF62-4005B95F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e</dc:creator>
  <cp:keywords/>
  <dc:description/>
  <cp:lastModifiedBy>U</cp:lastModifiedBy>
  <cp:revision>2</cp:revision>
  <cp:lastPrinted>2009-08-16T23:50:00Z</cp:lastPrinted>
  <dcterms:created xsi:type="dcterms:W3CDTF">2011-09-17T17:14:00Z</dcterms:created>
  <dcterms:modified xsi:type="dcterms:W3CDTF">2011-09-17T17:14:00Z</dcterms:modified>
</cp:coreProperties>
</file>